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8C0" w:rsidRPr="00264D86" w:rsidRDefault="004E18C0" w:rsidP="00264D86">
      <w:pPr>
        <w:shd w:val="clear" w:color="auto" w:fill="FFFFFF"/>
        <w:spacing w:after="251" w:line="737" w:lineRule="atLeast"/>
        <w:jc w:val="center"/>
        <w:outlineLvl w:val="1"/>
        <w:rPr>
          <w:rFonts w:ascii="Helvetica" w:hAnsi="Helvetica" w:cs="Helvetica"/>
          <w:b/>
          <w:bCs/>
          <w:color w:val="333333"/>
          <w:sz w:val="57"/>
          <w:szCs w:val="57"/>
          <w:lang w:eastAsia="ru-RU"/>
        </w:rPr>
      </w:pPr>
      <w:r w:rsidRPr="00264D86">
        <w:rPr>
          <w:rFonts w:ascii="Helvetica" w:hAnsi="Helvetica" w:cs="Helvetica"/>
          <w:b/>
          <w:bCs/>
          <w:color w:val="333333"/>
          <w:sz w:val="57"/>
          <w:szCs w:val="57"/>
          <w:lang w:eastAsia="ru-RU"/>
        </w:rPr>
        <w:t>Стоимость абонентского юридического обслуживания</w:t>
      </w:r>
      <w:r>
        <w:rPr>
          <w:rFonts w:ascii="Helvetica" w:hAnsi="Helvetica" w:cs="Helvetica"/>
          <w:b/>
          <w:bCs/>
          <w:color w:val="333333"/>
          <w:sz w:val="57"/>
          <w:szCs w:val="57"/>
          <w:lang w:eastAsia="ru-RU"/>
        </w:rPr>
        <w:t xml:space="preserve"> юридической компании «Дипломат»</w:t>
      </w:r>
    </w:p>
    <w:p w:rsidR="004E18C0" w:rsidRPr="00264D86" w:rsidRDefault="004E18C0" w:rsidP="00264D86">
      <w:pPr>
        <w:shd w:val="clear" w:color="auto" w:fill="FFFFFF"/>
        <w:spacing w:line="469" w:lineRule="atLeast"/>
        <w:ind w:firstLine="708"/>
        <w:jc w:val="both"/>
        <w:rPr>
          <w:rFonts w:ascii="Arial" w:hAnsi="Arial" w:cs="Arial"/>
          <w:sz w:val="25"/>
          <w:szCs w:val="25"/>
          <w:lang w:eastAsia="ru-RU"/>
        </w:rPr>
      </w:pPr>
      <w:r w:rsidRPr="00264D86">
        <w:rPr>
          <w:rFonts w:ascii="Arial" w:hAnsi="Arial" w:cs="Arial"/>
          <w:sz w:val="25"/>
          <w:szCs w:val="25"/>
          <w:lang w:eastAsia="ru-RU"/>
        </w:rPr>
        <w:t>Стоимость услуг абонентского юридического обслуживания рассчитывается по фиксированным, понятным и заранее согласованным ценам. Такая форма юридического обслуживания значительно сокращает расходы на юридические услуги. Тарифы на абонентское обслуживание сопоставимы с заработной платой одного штатного юриста. При этом, договор на абонентское юридическое обслуживание позволяет привлекать для решения правовых вопросов вашей организаций слаженную команду юристов, специализирующихся на разных направлениях юридической практики. Договоры заключаются как с организациями и компаниями, так и с индивидуальными предпринимателями.</w:t>
      </w:r>
    </w:p>
    <w:tbl>
      <w:tblPr>
        <w:tblW w:w="15511" w:type="dxa"/>
        <w:tblBorders>
          <w:bottom w:val="single" w:sz="6" w:space="0" w:color="auto"/>
        </w:tblBorders>
        <w:tblCellMar>
          <w:left w:w="0" w:type="dxa"/>
          <w:right w:w="0" w:type="dxa"/>
        </w:tblCellMar>
        <w:tblLook w:val="00A0"/>
      </w:tblPr>
      <w:tblGrid>
        <w:gridCol w:w="271"/>
        <w:gridCol w:w="5923"/>
        <w:gridCol w:w="2701"/>
        <w:gridCol w:w="3308"/>
        <w:gridCol w:w="3308"/>
      </w:tblGrid>
      <w:tr w:rsidR="004E18C0" w:rsidRPr="006575BE" w:rsidTr="00264D86">
        <w:trPr>
          <w:tblHeader/>
        </w:trPr>
        <w:tc>
          <w:tcPr>
            <w:tcW w:w="0" w:type="auto"/>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sz w:val="23"/>
                <w:szCs w:val="23"/>
                <w:lang w:eastAsia="ru-RU"/>
              </w:rPr>
            </w:pPr>
          </w:p>
        </w:tc>
        <w:tc>
          <w:tcPr>
            <w:tcW w:w="5923" w:type="dxa"/>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b/>
                <w:bCs/>
                <w:color w:val="FFFFFF"/>
                <w:sz w:val="23"/>
                <w:szCs w:val="23"/>
                <w:lang w:eastAsia="ru-RU"/>
              </w:rPr>
            </w:pPr>
            <w:r w:rsidRPr="00264D86">
              <w:rPr>
                <w:rFonts w:ascii="Times New Roman" w:hAnsi="Times New Roman"/>
                <w:b/>
                <w:bCs/>
                <w:color w:val="FFFFFF"/>
                <w:sz w:val="23"/>
                <w:szCs w:val="23"/>
                <w:lang w:eastAsia="ru-RU"/>
              </w:rPr>
              <w:t>Наименование и количество услуг, включенных в абонентское юридическое обслуживание:</w:t>
            </w:r>
          </w:p>
        </w:tc>
        <w:tc>
          <w:tcPr>
            <w:tcW w:w="0" w:type="auto"/>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b/>
                <w:bCs/>
                <w:color w:val="FFFFFF"/>
                <w:sz w:val="23"/>
                <w:szCs w:val="23"/>
                <w:lang w:eastAsia="ru-RU"/>
              </w:rPr>
            </w:pPr>
            <w:r w:rsidRPr="00264D86">
              <w:rPr>
                <w:rFonts w:ascii="Times New Roman" w:hAnsi="Times New Roman"/>
                <w:b/>
                <w:bCs/>
                <w:color w:val="FFFFFF"/>
                <w:sz w:val="23"/>
                <w:szCs w:val="23"/>
                <w:lang w:eastAsia="ru-RU"/>
              </w:rPr>
              <w:t>Тарифный план</w:t>
            </w:r>
            <w:r w:rsidRPr="00264D86">
              <w:rPr>
                <w:rFonts w:ascii="Times New Roman" w:hAnsi="Times New Roman"/>
                <w:b/>
                <w:bCs/>
                <w:color w:val="FFFFFF"/>
                <w:sz w:val="23"/>
                <w:szCs w:val="23"/>
                <w:lang w:eastAsia="ru-RU"/>
              </w:rPr>
              <w:br/>
              <w:t>«СТАРТ»</w:t>
            </w:r>
          </w:p>
        </w:tc>
        <w:tc>
          <w:tcPr>
            <w:tcW w:w="0" w:type="auto"/>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b/>
                <w:bCs/>
                <w:color w:val="FFFFFF"/>
                <w:sz w:val="23"/>
                <w:szCs w:val="23"/>
                <w:lang w:eastAsia="ru-RU"/>
              </w:rPr>
            </w:pPr>
            <w:r w:rsidRPr="00264D86">
              <w:rPr>
                <w:rFonts w:ascii="Times New Roman" w:hAnsi="Times New Roman"/>
                <w:b/>
                <w:bCs/>
                <w:color w:val="FFFFFF"/>
                <w:sz w:val="23"/>
                <w:szCs w:val="23"/>
                <w:lang w:eastAsia="ru-RU"/>
              </w:rPr>
              <w:t>Тарифный план</w:t>
            </w:r>
            <w:r w:rsidRPr="00264D86">
              <w:rPr>
                <w:rFonts w:ascii="Times New Roman" w:hAnsi="Times New Roman"/>
                <w:b/>
                <w:bCs/>
                <w:color w:val="FFFFFF"/>
                <w:sz w:val="23"/>
                <w:szCs w:val="23"/>
                <w:lang w:eastAsia="ru-RU"/>
              </w:rPr>
              <w:br/>
              <w:t>«СТАНДАРТ»</w:t>
            </w:r>
          </w:p>
        </w:tc>
        <w:tc>
          <w:tcPr>
            <w:tcW w:w="0" w:type="auto"/>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b/>
                <w:bCs/>
                <w:color w:val="FFFFFF"/>
                <w:sz w:val="23"/>
                <w:szCs w:val="23"/>
                <w:lang w:eastAsia="ru-RU"/>
              </w:rPr>
            </w:pPr>
            <w:r w:rsidRPr="00264D86">
              <w:rPr>
                <w:rFonts w:ascii="Times New Roman" w:hAnsi="Times New Roman"/>
                <w:b/>
                <w:bCs/>
                <w:color w:val="FFFFFF"/>
                <w:sz w:val="23"/>
                <w:szCs w:val="23"/>
                <w:lang w:eastAsia="ru-RU"/>
              </w:rPr>
              <w:t>Тарифный план</w:t>
            </w:r>
            <w:r w:rsidRPr="00264D86">
              <w:rPr>
                <w:rFonts w:ascii="Times New Roman" w:hAnsi="Times New Roman"/>
                <w:b/>
                <w:bCs/>
                <w:color w:val="FFFFFF"/>
                <w:sz w:val="23"/>
                <w:szCs w:val="23"/>
                <w:lang w:eastAsia="ru-RU"/>
              </w:rPr>
              <w:br/>
              <w:t>«ПРЕМИУМ»</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b/>
                <w:bCs/>
                <w:color w:val="000000"/>
                <w:sz w:val="23"/>
                <w:lang w:eastAsia="ru-RU"/>
              </w:rPr>
              <w:t>29 000 руб./мес.</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b/>
                <w:bCs/>
                <w:color w:val="000000"/>
                <w:sz w:val="23"/>
                <w:lang w:eastAsia="ru-RU"/>
              </w:rPr>
              <w:t>49 000 руб./мес.</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b/>
                <w:bCs/>
                <w:color w:val="000000"/>
                <w:sz w:val="23"/>
                <w:lang w:eastAsia="ru-RU"/>
              </w:rPr>
              <w:t>от 79 000 руб./мес.</w:t>
            </w:r>
          </w:p>
        </w:tc>
      </w:tr>
      <w:tr w:rsidR="004E18C0" w:rsidRPr="006575BE" w:rsidTr="00264D86">
        <w:tc>
          <w:tcPr>
            <w:tcW w:w="0" w:type="auto"/>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sz w:val="23"/>
                <w:szCs w:val="23"/>
                <w:lang w:eastAsia="ru-RU"/>
              </w:rPr>
            </w:pPr>
          </w:p>
        </w:tc>
        <w:tc>
          <w:tcPr>
            <w:tcW w:w="15254" w:type="dxa"/>
            <w:gridSpan w:val="4"/>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color w:val="FFFFFF"/>
                <w:sz w:val="23"/>
                <w:szCs w:val="23"/>
                <w:lang w:eastAsia="ru-RU"/>
              </w:rPr>
            </w:pPr>
            <w:r w:rsidRPr="00264D86">
              <w:rPr>
                <w:rFonts w:ascii="Times New Roman" w:hAnsi="Times New Roman"/>
                <w:b/>
                <w:bCs/>
                <w:color w:val="FFFFFF"/>
                <w:sz w:val="23"/>
                <w:szCs w:val="23"/>
                <w:lang w:eastAsia="ru-RU"/>
              </w:rPr>
              <w:t>Консультирование</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1. Устные консультации</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Неограниченно</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Неограниченно</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Неограниченно</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2. Письменные консультации</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2-х в мес.</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4-х в мес.</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8-ми в мес.</w:t>
            </w:r>
          </w:p>
        </w:tc>
      </w:tr>
      <w:tr w:rsidR="004E18C0" w:rsidRPr="006575BE" w:rsidTr="00264D86">
        <w:tc>
          <w:tcPr>
            <w:tcW w:w="0" w:type="auto"/>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sz w:val="23"/>
                <w:szCs w:val="23"/>
                <w:lang w:eastAsia="ru-RU"/>
              </w:rPr>
            </w:pPr>
          </w:p>
        </w:tc>
        <w:tc>
          <w:tcPr>
            <w:tcW w:w="15254" w:type="dxa"/>
            <w:gridSpan w:val="4"/>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color w:val="FFFFFF"/>
                <w:sz w:val="23"/>
                <w:szCs w:val="23"/>
                <w:lang w:eastAsia="ru-RU"/>
              </w:rPr>
            </w:pPr>
            <w:r w:rsidRPr="00264D86">
              <w:rPr>
                <w:rFonts w:ascii="Times New Roman" w:hAnsi="Times New Roman"/>
                <w:b/>
                <w:bCs/>
                <w:color w:val="FFFFFF"/>
                <w:sz w:val="23"/>
                <w:szCs w:val="23"/>
                <w:lang w:eastAsia="ru-RU"/>
              </w:rPr>
              <w:t>Работа с договорами</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3. Разработка договоров</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2-х документов в мес.</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4-х документов в мес.</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8-ми документов в мес.</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4. Проверка договоров, предоставленных контрагентами Заказчика</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2-х документов в мес.</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4-х документов в мес.</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8-ми документов в мес.</w:t>
            </w:r>
          </w:p>
        </w:tc>
      </w:tr>
      <w:tr w:rsidR="004E18C0" w:rsidRPr="006575BE" w:rsidTr="00264D86">
        <w:tc>
          <w:tcPr>
            <w:tcW w:w="0" w:type="auto"/>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sz w:val="23"/>
                <w:szCs w:val="23"/>
                <w:lang w:eastAsia="ru-RU"/>
              </w:rPr>
            </w:pPr>
          </w:p>
        </w:tc>
        <w:tc>
          <w:tcPr>
            <w:tcW w:w="15254" w:type="dxa"/>
            <w:gridSpan w:val="4"/>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color w:val="FFFFFF"/>
                <w:sz w:val="23"/>
                <w:szCs w:val="23"/>
                <w:lang w:eastAsia="ru-RU"/>
              </w:rPr>
            </w:pPr>
            <w:r w:rsidRPr="00264D86">
              <w:rPr>
                <w:rFonts w:ascii="Times New Roman" w:hAnsi="Times New Roman"/>
                <w:b/>
                <w:bCs/>
                <w:color w:val="FFFFFF"/>
                <w:sz w:val="23"/>
                <w:szCs w:val="23"/>
                <w:lang w:eastAsia="ru-RU"/>
              </w:rPr>
              <w:t>Ведение переписки и претензионная работа</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5. Подготовка заявлений, писем, запросов, обращений, жалоб, заявок, ведение прочей переписки правовой направленности</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2-х документов в мес.</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4-х документов в мес.</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8-ми документов в мес.</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6. Подготовка досудебных претензий</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2-х документов в мес.</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4-х документов в мес.</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8-ми документов в мес.</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7. Подготовка ответов на досудебные претензии и иные запросы и обращения</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2-х документов в мес.</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4-х документов в мес.</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8-ми документов в мес.</w:t>
            </w:r>
          </w:p>
        </w:tc>
      </w:tr>
      <w:tr w:rsidR="004E18C0" w:rsidRPr="006575BE" w:rsidTr="00264D86">
        <w:tc>
          <w:tcPr>
            <w:tcW w:w="0" w:type="auto"/>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sz w:val="23"/>
                <w:szCs w:val="23"/>
                <w:lang w:eastAsia="ru-RU"/>
              </w:rPr>
            </w:pPr>
          </w:p>
        </w:tc>
        <w:tc>
          <w:tcPr>
            <w:tcW w:w="15254" w:type="dxa"/>
            <w:gridSpan w:val="4"/>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color w:val="FFFFFF"/>
                <w:sz w:val="23"/>
                <w:szCs w:val="23"/>
                <w:lang w:eastAsia="ru-RU"/>
              </w:rPr>
            </w:pPr>
            <w:r w:rsidRPr="00264D86">
              <w:rPr>
                <w:rFonts w:ascii="Times New Roman" w:hAnsi="Times New Roman"/>
                <w:b/>
                <w:bCs/>
                <w:color w:val="FFFFFF"/>
                <w:sz w:val="23"/>
                <w:szCs w:val="23"/>
                <w:lang w:eastAsia="ru-RU"/>
              </w:rPr>
              <w:t>Представление интересов</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8. Представление интересов на переговорах с третьими лицами</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2-х выездов в мес.</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4-х выездов в мес.</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8-ми выездов в мес.</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9. Представление интересов в государственных учреждениях</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2-х выездов в мес.</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4-х выездов в мес.</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8-ми выездов в мес.</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10. Сопровождение при проверках контролирующих органов</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2-х выездов в мес.</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4-х выездов в мес.</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8-ми выездов в мес.</w:t>
            </w:r>
          </w:p>
        </w:tc>
      </w:tr>
      <w:tr w:rsidR="004E18C0" w:rsidRPr="006575BE" w:rsidTr="00264D86">
        <w:tc>
          <w:tcPr>
            <w:tcW w:w="0" w:type="auto"/>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sz w:val="23"/>
                <w:szCs w:val="23"/>
                <w:lang w:eastAsia="ru-RU"/>
              </w:rPr>
            </w:pPr>
          </w:p>
        </w:tc>
        <w:tc>
          <w:tcPr>
            <w:tcW w:w="15254" w:type="dxa"/>
            <w:gridSpan w:val="4"/>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color w:val="FFFFFF"/>
                <w:sz w:val="23"/>
                <w:szCs w:val="23"/>
                <w:lang w:eastAsia="ru-RU"/>
              </w:rPr>
            </w:pPr>
            <w:r w:rsidRPr="00264D86">
              <w:rPr>
                <w:rFonts w:ascii="Times New Roman" w:hAnsi="Times New Roman"/>
                <w:b/>
                <w:bCs/>
                <w:color w:val="FFFFFF"/>
                <w:sz w:val="23"/>
                <w:szCs w:val="23"/>
                <w:lang w:eastAsia="ru-RU"/>
              </w:rPr>
              <w:t>Регистрационные услуги</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11. Регистрация юридических лиц. Внесение изменений в ЕГРЮЛ (смена юридического адреса, смена руководителя, перераспределение долей, добавление кодов ОКВЭД и др. изменения)</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1 регистрационное действие в мес.</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2-х регистрационных действий в мес.</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4-х регистрационных действий в мес.</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12. Регистрация прав на недвижимость</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1 регистрационное действие в мес.</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2-х регистрационных действий в мес.</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4-х регистрационных действий в мес.</w:t>
            </w:r>
          </w:p>
        </w:tc>
      </w:tr>
      <w:tr w:rsidR="004E18C0" w:rsidRPr="006575BE" w:rsidTr="00264D86">
        <w:tc>
          <w:tcPr>
            <w:tcW w:w="0" w:type="auto"/>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sz w:val="23"/>
                <w:szCs w:val="23"/>
                <w:lang w:eastAsia="ru-RU"/>
              </w:rPr>
            </w:pPr>
          </w:p>
        </w:tc>
        <w:tc>
          <w:tcPr>
            <w:tcW w:w="15254" w:type="dxa"/>
            <w:gridSpan w:val="4"/>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color w:val="FFFFFF"/>
                <w:sz w:val="23"/>
                <w:szCs w:val="23"/>
                <w:lang w:eastAsia="ru-RU"/>
              </w:rPr>
            </w:pPr>
            <w:r w:rsidRPr="00264D86">
              <w:rPr>
                <w:rFonts w:ascii="Times New Roman" w:hAnsi="Times New Roman"/>
                <w:b/>
                <w:bCs/>
                <w:color w:val="FFFFFF"/>
                <w:sz w:val="23"/>
                <w:szCs w:val="23"/>
                <w:lang w:eastAsia="ru-RU"/>
              </w:rPr>
              <w:t>Кадровое делопроизводство</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13. Разработка локальных нормативных актов</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2-х документов в мес.</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4-х документов в мес.</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8-ми документов в мес.</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14. Проверка существующих локальных нормативных актов</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2-х документов в мес.</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4-х документов в мес.</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8-ми документов в мес.</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15. Оформление трудовых отношений с работниками: подготовка трудовых договоров, прием на работу, перевод, увольнение</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2-х документов в мес.</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4-х документов в мес.</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8-ми документов в мес.</w:t>
            </w:r>
          </w:p>
        </w:tc>
      </w:tr>
      <w:tr w:rsidR="004E18C0" w:rsidRPr="006575BE" w:rsidTr="00264D86">
        <w:tc>
          <w:tcPr>
            <w:tcW w:w="0" w:type="auto"/>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sz w:val="23"/>
                <w:szCs w:val="23"/>
                <w:lang w:eastAsia="ru-RU"/>
              </w:rPr>
            </w:pPr>
          </w:p>
        </w:tc>
        <w:tc>
          <w:tcPr>
            <w:tcW w:w="15254" w:type="dxa"/>
            <w:gridSpan w:val="4"/>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color w:val="FFFFFF"/>
                <w:sz w:val="23"/>
                <w:szCs w:val="23"/>
                <w:lang w:eastAsia="ru-RU"/>
              </w:rPr>
            </w:pPr>
            <w:r w:rsidRPr="00264D86">
              <w:rPr>
                <w:rFonts w:ascii="Times New Roman" w:hAnsi="Times New Roman"/>
                <w:b/>
                <w:bCs/>
                <w:color w:val="FFFFFF"/>
                <w:sz w:val="23"/>
                <w:szCs w:val="23"/>
                <w:lang w:eastAsia="ru-RU"/>
              </w:rPr>
              <w:t>Представительство в суде</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16. Оценка перспектив судебного разбирательства. Изучение материалов дела с подготовкой письменного заключения</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1 судебное дело в мес.</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2-х судебных дел в мес.</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4-х судебных дел в мес.</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17. Подготовка исковых заявлений, апелляционных, кассационных, надзорных жалоб</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1 документ в мес.</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2-х документов в мес.</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4-х документов в мес.</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18. Подготовка отзывов на исковые заявления, апелляционные, кассационные и надзорные жалобы</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1 документ в мес.</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2-х документов в мес.</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4-х документов в мес.</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19. Представительство в суде по арбитражным, гражданским и административным делам. Выезды на судебные заседания</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1 судебное дело в мес.</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2-х судебных дел в мес.</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До 4-х судебных дел в мес.</w:t>
            </w:r>
          </w:p>
        </w:tc>
      </w:tr>
      <w:tr w:rsidR="004E18C0" w:rsidRPr="006575BE" w:rsidTr="00264D86">
        <w:tc>
          <w:tcPr>
            <w:tcW w:w="0" w:type="auto"/>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sz w:val="23"/>
                <w:szCs w:val="23"/>
                <w:lang w:eastAsia="ru-RU"/>
              </w:rPr>
            </w:pPr>
          </w:p>
        </w:tc>
        <w:tc>
          <w:tcPr>
            <w:tcW w:w="15254" w:type="dxa"/>
            <w:gridSpan w:val="4"/>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color w:val="FFFFFF"/>
                <w:sz w:val="23"/>
                <w:szCs w:val="23"/>
                <w:lang w:eastAsia="ru-RU"/>
              </w:rPr>
            </w:pPr>
            <w:r w:rsidRPr="00264D86">
              <w:rPr>
                <w:rFonts w:ascii="Times New Roman" w:hAnsi="Times New Roman"/>
                <w:b/>
                <w:bCs/>
                <w:color w:val="FFFFFF"/>
                <w:sz w:val="23"/>
                <w:szCs w:val="23"/>
                <w:lang w:eastAsia="ru-RU"/>
              </w:rPr>
              <w:t>Система скидок</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Ваша скидка при единовременной оплате обслуживания за 6 месяцев</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10%</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10%</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10%</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Ваша скидка при единовременной оплате обслуживания за 12 месяцев</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15%</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15%</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15%</w:t>
            </w:r>
          </w:p>
        </w:tc>
      </w:tr>
      <w:tr w:rsidR="004E18C0" w:rsidRPr="006575BE" w:rsidTr="00264D86">
        <w:tc>
          <w:tcPr>
            <w:tcW w:w="0" w:type="auto"/>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sz w:val="23"/>
                <w:szCs w:val="23"/>
                <w:lang w:eastAsia="ru-RU"/>
              </w:rPr>
            </w:pPr>
          </w:p>
        </w:tc>
        <w:tc>
          <w:tcPr>
            <w:tcW w:w="15254" w:type="dxa"/>
            <w:gridSpan w:val="4"/>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color w:val="FFFFFF"/>
                <w:sz w:val="23"/>
                <w:szCs w:val="23"/>
                <w:lang w:eastAsia="ru-RU"/>
              </w:rPr>
            </w:pPr>
            <w:r w:rsidRPr="00264D86">
              <w:rPr>
                <w:rFonts w:ascii="Times New Roman" w:hAnsi="Times New Roman"/>
                <w:b/>
                <w:bCs/>
                <w:color w:val="FFFFFF"/>
                <w:sz w:val="23"/>
                <w:szCs w:val="23"/>
                <w:lang w:eastAsia="ru-RU"/>
              </w:rPr>
              <w:t>Ответственные лица</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5923" w:type="dxa"/>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r w:rsidRPr="00264D86">
              <w:rPr>
                <w:rFonts w:ascii="Times New Roman" w:hAnsi="Times New Roman"/>
                <w:sz w:val="23"/>
                <w:szCs w:val="23"/>
                <w:lang w:eastAsia="ru-RU"/>
              </w:rPr>
              <w:t>Кто курирует юридическое обслуживание вашей компании</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Персональный юрист</w:t>
            </w:r>
          </w:p>
        </w:tc>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 xml:space="preserve">Персональный юрист и руководитель </w:t>
            </w:r>
            <w:r>
              <w:rPr>
                <w:rFonts w:ascii="Times New Roman" w:hAnsi="Times New Roman"/>
                <w:sz w:val="23"/>
                <w:szCs w:val="23"/>
                <w:lang w:eastAsia="ru-RU"/>
              </w:rPr>
              <w:t>компании</w:t>
            </w:r>
          </w:p>
        </w:tc>
        <w:tc>
          <w:tcPr>
            <w:tcW w:w="0" w:type="auto"/>
            <w:tcBorders>
              <w:top w:val="single" w:sz="6" w:space="0" w:color="auto"/>
            </w:tcBorders>
            <w:tcMar>
              <w:top w:w="84" w:type="dxa"/>
              <w:left w:w="84" w:type="dxa"/>
              <w:bottom w:w="84" w:type="dxa"/>
              <w:right w:w="167" w:type="dxa"/>
            </w:tcMar>
            <w:vAlign w:val="center"/>
          </w:tcPr>
          <w:p w:rsidR="004E18C0" w:rsidRPr="00264D86" w:rsidRDefault="004E18C0" w:rsidP="00264D86">
            <w:pPr>
              <w:spacing w:line="240" w:lineRule="auto"/>
              <w:jc w:val="center"/>
              <w:rPr>
                <w:rFonts w:ascii="Times New Roman" w:hAnsi="Times New Roman"/>
                <w:sz w:val="23"/>
                <w:szCs w:val="23"/>
                <w:lang w:eastAsia="ru-RU"/>
              </w:rPr>
            </w:pPr>
            <w:r w:rsidRPr="00264D86">
              <w:rPr>
                <w:rFonts w:ascii="Times New Roman" w:hAnsi="Times New Roman"/>
                <w:sz w:val="23"/>
                <w:szCs w:val="23"/>
                <w:lang w:eastAsia="ru-RU"/>
              </w:rPr>
              <w:t xml:space="preserve">Персональный юрист и руководитель </w:t>
            </w:r>
            <w:r>
              <w:rPr>
                <w:rFonts w:ascii="Times New Roman" w:hAnsi="Times New Roman"/>
                <w:sz w:val="23"/>
                <w:szCs w:val="23"/>
                <w:lang w:eastAsia="ru-RU"/>
              </w:rPr>
              <w:t>компании</w:t>
            </w:r>
          </w:p>
        </w:tc>
      </w:tr>
      <w:tr w:rsidR="004E18C0" w:rsidRPr="006575BE" w:rsidTr="00264D86">
        <w:tc>
          <w:tcPr>
            <w:tcW w:w="0" w:type="auto"/>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sz w:val="23"/>
                <w:szCs w:val="23"/>
                <w:lang w:eastAsia="ru-RU"/>
              </w:rPr>
            </w:pPr>
          </w:p>
        </w:tc>
        <w:tc>
          <w:tcPr>
            <w:tcW w:w="15254" w:type="dxa"/>
            <w:gridSpan w:val="4"/>
            <w:tcBorders>
              <w:top w:val="single" w:sz="6" w:space="0" w:color="auto"/>
            </w:tcBorders>
            <w:shd w:val="clear" w:color="auto" w:fill="2867B6"/>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b/>
                <w:bCs/>
                <w:color w:val="FFFFFF"/>
                <w:sz w:val="23"/>
                <w:szCs w:val="23"/>
                <w:lang w:eastAsia="ru-RU"/>
              </w:rPr>
            </w:pPr>
            <w:r w:rsidRPr="00264D86">
              <w:rPr>
                <w:rFonts w:ascii="Times New Roman" w:hAnsi="Times New Roman"/>
                <w:b/>
                <w:bCs/>
                <w:color w:val="FFFFFF"/>
                <w:sz w:val="23"/>
                <w:szCs w:val="23"/>
                <w:lang w:eastAsia="ru-RU"/>
              </w:rPr>
              <w:t>Примечание</w:t>
            </w:r>
          </w:p>
        </w:tc>
      </w:tr>
      <w:tr w:rsidR="004E18C0" w:rsidRPr="006575BE" w:rsidTr="00264D86">
        <w:tc>
          <w:tcPr>
            <w:tcW w:w="0" w:type="auto"/>
            <w:tcBorders>
              <w:top w:val="single" w:sz="6" w:space="0" w:color="auto"/>
            </w:tcBorders>
            <w:shd w:val="clear" w:color="auto" w:fill="F4F4F4"/>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15254" w:type="dxa"/>
            <w:gridSpan w:val="4"/>
            <w:tcBorders>
              <w:top w:val="single" w:sz="6" w:space="0" w:color="auto"/>
            </w:tcBorders>
            <w:shd w:val="clear" w:color="auto" w:fill="F4F4F4"/>
            <w:tcMar>
              <w:top w:w="84" w:type="dxa"/>
              <w:left w:w="84" w:type="dxa"/>
              <w:bottom w:w="84" w:type="dxa"/>
              <w:right w:w="167" w:type="dxa"/>
            </w:tcMar>
            <w:vAlign w:val="center"/>
          </w:tcPr>
          <w:p w:rsidR="004E18C0" w:rsidRDefault="004E18C0" w:rsidP="00264D86">
            <w:pPr>
              <w:spacing w:line="240" w:lineRule="auto"/>
              <w:rPr>
                <w:rFonts w:ascii="Arial" w:hAnsi="Arial" w:cs="Arial"/>
                <w:sz w:val="24"/>
                <w:szCs w:val="23"/>
                <w:lang w:eastAsia="ru-RU"/>
              </w:rPr>
            </w:pPr>
            <w:r w:rsidRPr="00264D86">
              <w:rPr>
                <w:rFonts w:ascii="Arial" w:hAnsi="Arial" w:cs="Arial"/>
                <w:sz w:val="24"/>
                <w:szCs w:val="23"/>
                <w:lang w:eastAsia="ru-RU"/>
              </w:rPr>
              <w:t xml:space="preserve">Объем услуг каждого тарифного плана корректируется в зависимости от Ваших потребностей. </w:t>
            </w:r>
          </w:p>
          <w:p w:rsidR="004E18C0" w:rsidRPr="00264D86" w:rsidRDefault="004E18C0" w:rsidP="00264D86">
            <w:pPr>
              <w:spacing w:line="240" w:lineRule="auto"/>
              <w:rPr>
                <w:rFonts w:ascii="Arial" w:hAnsi="Arial" w:cs="Arial"/>
                <w:sz w:val="24"/>
                <w:szCs w:val="23"/>
                <w:lang w:eastAsia="ru-RU"/>
              </w:rPr>
            </w:pPr>
            <w:r w:rsidRPr="00264D86">
              <w:rPr>
                <w:rFonts w:ascii="Arial" w:hAnsi="Arial" w:cs="Arial"/>
                <w:b/>
                <w:sz w:val="24"/>
                <w:szCs w:val="23"/>
                <w:lang w:eastAsia="ru-RU"/>
              </w:rPr>
              <w:t>Наша основная задача – чтобы Ваша компания была защищена по всем направлениям Вашего бизнеса.</w:t>
            </w:r>
          </w:p>
        </w:tc>
      </w:tr>
      <w:tr w:rsidR="004E18C0" w:rsidRPr="006575BE" w:rsidTr="00264D86">
        <w:tc>
          <w:tcPr>
            <w:tcW w:w="0" w:type="auto"/>
            <w:tcBorders>
              <w:top w:val="single" w:sz="6" w:space="0" w:color="auto"/>
              <w:bottom w:val="single" w:sz="6" w:space="0" w:color="auto"/>
            </w:tcBorders>
            <w:tcMar>
              <w:top w:w="84" w:type="dxa"/>
              <w:left w:w="84" w:type="dxa"/>
              <w:bottom w:w="84" w:type="dxa"/>
              <w:right w:w="167" w:type="dxa"/>
            </w:tcMar>
            <w:vAlign w:val="center"/>
          </w:tcPr>
          <w:p w:rsidR="004E18C0" w:rsidRPr="00264D86" w:rsidRDefault="004E18C0" w:rsidP="00264D86">
            <w:pPr>
              <w:spacing w:line="240" w:lineRule="auto"/>
              <w:rPr>
                <w:rFonts w:ascii="Times New Roman" w:hAnsi="Times New Roman"/>
                <w:sz w:val="23"/>
                <w:szCs w:val="23"/>
                <w:lang w:eastAsia="ru-RU"/>
              </w:rPr>
            </w:pPr>
          </w:p>
        </w:tc>
        <w:tc>
          <w:tcPr>
            <w:tcW w:w="15254" w:type="dxa"/>
            <w:gridSpan w:val="4"/>
            <w:tcBorders>
              <w:top w:val="single" w:sz="6" w:space="0" w:color="auto"/>
              <w:bottom w:val="single" w:sz="6" w:space="0" w:color="auto"/>
            </w:tcBorders>
            <w:tcMar>
              <w:top w:w="84" w:type="dxa"/>
              <w:left w:w="84" w:type="dxa"/>
              <w:bottom w:w="84" w:type="dxa"/>
              <w:right w:w="167" w:type="dxa"/>
            </w:tcMar>
            <w:vAlign w:val="center"/>
          </w:tcPr>
          <w:p w:rsidR="004E18C0" w:rsidRPr="00264D86" w:rsidRDefault="004E18C0" w:rsidP="00264D86">
            <w:pPr>
              <w:spacing w:line="240" w:lineRule="auto"/>
              <w:rPr>
                <w:rFonts w:ascii="Arial" w:hAnsi="Arial" w:cs="Arial"/>
                <w:sz w:val="24"/>
                <w:szCs w:val="23"/>
                <w:lang w:eastAsia="ru-RU"/>
              </w:rPr>
            </w:pPr>
            <w:r w:rsidRPr="00264D86">
              <w:rPr>
                <w:rFonts w:ascii="Arial" w:hAnsi="Arial" w:cs="Arial"/>
                <w:sz w:val="24"/>
                <w:szCs w:val="23"/>
                <w:lang w:eastAsia="ru-RU"/>
              </w:rPr>
              <w:t>В зависимости от специфики работы организации, некоторые услуги могут быть заменены</w:t>
            </w:r>
            <w:r>
              <w:rPr>
                <w:rFonts w:ascii="Arial" w:hAnsi="Arial" w:cs="Arial"/>
                <w:sz w:val="24"/>
                <w:szCs w:val="23"/>
                <w:lang w:eastAsia="ru-RU"/>
              </w:rPr>
              <w:t>.</w:t>
            </w:r>
          </w:p>
        </w:tc>
      </w:tr>
    </w:tbl>
    <w:p w:rsidR="004E18C0" w:rsidRDefault="004E18C0"/>
    <w:sectPr w:rsidR="004E18C0" w:rsidSect="00264D86">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4D86"/>
    <w:rsid w:val="00004933"/>
    <w:rsid w:val="0000590E"/>
    <w:rsid w:val="00010666"/>
    <w:rsid w:val="00011FE5"/>
    <w:rsid w:val="00014D45"/>
    <w:rsid w:val="00021A6D"/>
    <w:rsid w:val="000332E6"/>
    <w:rsid w:val="00035CEB"/>
    <w:rsid w:val="000375BF"/>
    <w:rsid w:val="00046DE7"/>
    <w:rsid w:val="00051370"/>
    <w:rsid w:val="0007019C"/>
    <w:rsid w:val="000A1B31"/>
    <w:rsid w:val="000A2931"/>
    <w:rsid w:val="000A33DF"/>
    <w:rsid w:val="000A49AE"/>
    <w:rsid w:val="000B0879"/>
    <w:rsid w:val="000C2728"/>
    <w:rsid w:val="000E1DFB"/>
    <w:rsid w:val="000E1EFD"/>
    <w:rsid w:val="000E54A0"/>
    <w:rsid w:val="000E6FAE"/>
    <w:rsid w:val="000F0542"/>
    <w:rsid w:val="000F196D"/>
    <w:rsid w:val="00106E84"/>
    <w:rsid w:val="00113D29"/>
    <w:rsid w:val="001157C0"/>
    <w:rsid w:val="001204D0"/>
    <w:rsid w:val="0012226C"/>
    <w:rsid w:val="001232A5"/>
    <w:rsid w:val="0012379C"/>
    <w:rsid w:val="001276D4"/>
    <w:rsid w:val="00135178"/>
    <w:rsid w:val="00143A2A"/>
    <w:rsid w:val="001449E2"/>
    <w:rsid w:val="00161B47"/>
    <w:rsid w:val="001630E3"/>
    <w:rsid w:val="00166009"/>
    <w:rsid w:val="001844BE"/>
    <w:rsid w:val="00190069"/>
    <w:rsid w:val="0019327D"/>
    <w:rsid w:val="001A047C"/>
    <w:rsid w:val="001A17B1"/>
    <w:rsid w:val="001A39D0"/>
    <w:rsid w:val="001A4454"/>
    <w:rsid w:val="001A7ECB"/>
    <w:rsid w:val="001D204F"/>
    <w:rsid w:val="001E5DCD"/>
    <w:rsid w:val="001E7279"/>
    <w:rsid w:val="00201F95"/>
    <w:rsid w:val="00225783"/>
    <w:rsid w:val="00231A58"/>
    <w:rsid w:val="00243698"/>
    <w:rsid w:val="00252E5B"/>
    <w:rsid w:val="00264D86"/>
    <w:rsid w:val="002663FF"/>
    <w:rsid w:val="00275D37"/>
    <w:rsid w:val="002763FB"/>
    <w:rsid w:val="0029339F"/>
    <w:rsid w:val="002B5D6D"/>
    <w:rsid w:val="002B7FEF"/>
    <w:rsid w:val="002C0D6F"/>
    <w:rsid w:val="002C14FE"/>
    <w:rsid w:val="002C6344"/>
    <w:rsid w:val="002D0717"/>
    <w:rsid w:val="002E208B"/>
    <w:rsid w:val="002E28BB"/>
    <w:rsid w:val="002E60EC"/>
    <w:rsid w:val="002F3285"/>
    <w:rsid w:val="002F4A36"/>
    <w:rsid w:val="0030204C"/>
    <w:rsid w:val="00307751"/>
    <w:rsid w:val="00312D27"/>
    <w:rsid w:val="00317F4D"/>
    <w:rsid w:val="00325617"/>
    <w:rsid w:val="00345FB5"/>
    <w:rsid w:val="003505EF"/>
    <w:rsid w:val="003507D2"/>
    <w:rsid w:val="0035175D"/>
    <w:rsid w:val="00352563"/>
    <w:rsid w:val="0035333D"/>
    <w:rsid w:val="0035640A"/>
    <w:rsid w:val="00365352"/>
    <w:rsid w:val="00367777"/>
    <w:rsid w:val="00377DD8"/>
    <w:rsid w:val="0038040B"/>
    <w:rsid w:val="003877B9"/>
    <w:rsid w:val="00396A5C"/>
    <w:rsid w:val="003A7BB7"/>
    <w:rsid w:val="003A7F3C"/>
    <w:rsid w:val="003B019B"/>
    <w:rsid w:val="003B160B"/>
    <w:rsid w:val="003B419A"/>
    <w:rsid w:val="003C5FEF"/>
    <w:rsid w:val="003C6F0D"/>
    <w:rsid w:val="003E65F4"/>
    <w:rsid w:val="00401677"/>
    <w:rsid w:val="00422C6B"/>
    <w:rsid w:val="004473FD"/>
    <w:rsid w:val="00451661"/>
    <w:rsid w:val="00456406"/>
    <w:rsid w:val="00463357"/>
    <w:rsid w:val="0047458A"/>
    <w:rsid w:val="00474FA1"/>
    <w:rsid w:val="004844A1"/>
    <w:rsid w:val="00492BC2"/>
    <w:rsid w:val="0049744D"/>
    <w:rsid w:val="004A4BD9"/>
    <w:rsid w:val="004A6382"/>
    <w:rsid w:val="004A67B5"/>
    <w:rsid w:val="004B326F"/>
    <w:rsid w:val="004D6CFB"/>
    <w:rsid w:val="004E18C0"/>
    <w:rsid w:val="004E29D2"/>
    <w:rsid w:val="004E641A"/>
    <w:rsid w:val="004E6428"/>
    <w:rsid w:val="004F04E6"/>
    <w:rsid w:val="004F0A46"/>
    <w:rsid w:val="004F2770"/>
    <w:rsid w:val="00502662"/>
    <w:rsid w:val="00513144"/>
    <w:rsid w:val="00543F4C"/>
    <w:rsid w:val="00573E42"/>
    <w:rsid w:val="00580D87"/>
    <w:rsid w:val="00581377"/>
    <w:rsid w:val="0058570E"/>
    <w:rsid w:val="005A167A"/>
    <w:rsid w:val="005A4784"/>
    <w:rsid w:val="005B507F"/>
    <w:rsid w:val="005C04DD"/>
    <w:rsid w:val="005C4F77"/>
    <w:rsid w:val="005D47F1"/>
    <w:rsid w:val="005D7265"/>
    <w:rsid w:val="005E2FE9"/>
    <w:rsid w:val="005E3081"/>
    <w:rsid w:val="005E3A56"/>
    <w:rsid w:val="005F0B15"/>
    <w:rsid w:val="005F5935"/>
    <w:rsid w:val="005F7782"/>
    <w:rsid w:val="006064C7"/>
    <w:rsid w:val="00625BD4"/>
    <w:rsid w:val="00626EC3"/>
    <w:rsid w:val="0063135C"/>
    <w:rsid w:val="00632D54"/>
    <w:rsid w:val="00632DE3"/>
    <w:rsid w:val="00634D7F"/>
    <w:rsid w:val="00642F5F"/>
    <w:rsid w:val="00645312"/>
    <w:rsid w:val="00646559"/>
    <w:rsid w:val="00652249"/>
    <w:rsid w:val="006563AD"/>
    <w:rsid w:val="006575BE"/>
    <w:rsid w:val="00665ADC"/>
    <w:rsid w:val="00686F70"/>
    <w:rsid w:val="00690B3C"/>
    <w:rsid w:val="006B3936"/>
    <w:rsid w:val="006C601B"/>
    <w:rsid w:val="006C6FAE"/>
    <w:rsid w:val="006D16CE"/>
    <w:rsid w:val="006F4201"/>
    <w:rsid w:val="006F5B83"/>
    <w:rsid w:val="00701665"/>
    <w:rsid w:val="00703684"/>
    <w:rsid w:val="007041FE"/>
    <w:rsid w:val="00706D28"/>
    <w:rsid w:val="00707430"/>
    <w:rsid w:val="00722069"/>
    <w:rsid w:val="00727553"/>
    <w:rsid w:val="007333CF"/>
    <w:rsid w:val="007336FC"/>
    <w:rsid w:val="00747D22"/>
    <w:rsid w:val="007519C7"/>
    <w:rsid w:val="00766797"/>
    <w:rsid w:val="0078164B"/>
    <w:rsid w:val="00782526"/>
    <w:rsid w:val="007A2996"/>
    <w:rsid w:val="007A2BF1"/>
    <w:rsid w:val="007A4025"/>
    <w:rsid w:val="007A54C6"/>
    <w:rsid w:val="007B34CA"/>
    <w:rsid w:val="007F10EE"/>
    <w:rsid w:val="007F476E"/>
    <w:rsid w:val="007F7233"/>
    <w:rsid w:val="00823ADE"/>
    <w:rsid w:val="00825E90"/>
    <w:rsid w:val="00830AD5"/>
    <w:rsid w:val="008328F0"/>
    <w:rsid w:val="008551BC"/>
    <w:rsid w:val="0085727D"/>
    <w:rsid w:val="0087298D"/>
    <w:rsid w:val="00873B1C"/>
    <w:rsid w:val="00877089"/>
    <w:rsid w:val="0087739C"/>
    <w:rsid w:val="008813CA"/>
    <w:rsid w:val="00882FB2"/>
    <w:rsid w:val="008901E2"/>
    <w:rsid w:val="0089582C"/>
    <w:rsid w:val="008A042E"/>
    <w:rsid w:val="008A66AF"/>
    <w:rsid w:val="008A7105"/>
    <w:rsid w:val="008B1E50"/>
    <w:rsid w:val="008B65F3"/>
    <w:rsid w:val="008C0FE5"/>
    <w:rsid w:val="00900F5E"/>
    <w:rsid w:val="009211CB"/>
    <w:rsid w:val="00927E06"/>
    <w:rsid w:val="00930612"/>
    <w:rsid w:val="0093505B"/>
    <w:rsid w:val="00944F07"/>
    <w:rsid w:val="00950DC4"/>
    <w:rsid w:val="0095450A"/>
    <w:rsid w:val="00961454"/>
    <w:rsid w:val="00970B52"/>
    <w:rsid w:val="00974636"/>
    <w:rsid w:val="009852BF"/>
    <w:rsid w:val="00986E0C"/>
    <w:rsid w:val="009878F6"/>
    <w:rsid w:val="00992DA0"/>
    <w:rsid w:val="00995C2C"/>
    <w:rsid w:val="009A35AB"/>
    <w:rsid w:val="009B41ED"/>
    <w:rsid w:val="009C5053"/>
    <w:rsid w:val="009D49AE"/>
    <w:rsid w:val="009E1F8A"/>
    <w:rsid w:val="009E6BC5"/>
    <w:rsid w:val="009F4DF2"/>
    <w:rsid w:val="009F7206"/>
    <w:rsid w:val="00A07B40"/>
    <w:rsid w:val="00A13317"/>
    <w:rsid w:val="00A32FDE"/>
    <w:rsid w:val="00A374A7"/>
    <w:rsid w:val="00A50D06"/>
    <w:rsid w:val="00A556E6"/>
    <w:rsid w:val="00A5647A"/>
    <w:rsid w:val="00A6319D"/>
    <w:rsid w:val="00A643ED"/>
    <w:rsid w:val="00A67F50"/>
    <w:rsid w:val="00A72C2B"/>
    <w:rsid w:val="00A74D1B"/>
    <w:rsid w:val="00A85D1C"/>
    <w:rsid w:val="00A9653C"/>
    <w:rsid w:val="00AA274B"/>
    <w:rsid w:val="00AA3E06"/>
    <w:rsid w:val="00AA66B1"/>
    <w:rsid w:val="00AB661D"/>
    <w:rsid w:val="00AD0ED9"/>
    <w:rsid w:val="00AE5AA7"/>
    <w:rsid w:val="00AF2368"/>
    <w:rsid w:val="00AF73D8"/>
    <w:rsid w:val="00AF73EE"/>
    <w:rsid w:val="00B160F9"/>
    <w:rsid w:val="00B2316C"/>
    <w:rsid w:val="00B35178"/>
    <w:rsid w:val="00B456BC"/>
    <w:rsid w:val="00B56904"/>
    <w:rsid w:val="00B63B59"/>
    <w:rsid w:val="00B80646"/>
    <w:rsid w:val="00B82603"/>
    <w:rsid w:val="00B97508"/>
    <w:rsid w:val="00BA1E4A"/>
    <w:rsid w:val="00BA435C"/>
    <w:rsid w:val="00BA514A"/>
    <w:rsid w:val="00BA6EEA"/>
    <w:rsid w:val="00BB111E"/>
    <w:rsid w:val="00BB380E"/>
    <w:rsid w:val="00BC50E8"/>
    <w:rsid w:val="00BD02C9"/>
    <w:rsid w:val="00BE5DD2"/>
    <w:rsid w:val="00BE6559"/>
    <w:rsid w:val="00BF3160"/>
    <w:rsid w:val="00C016FC"/>
    <w:rsid w:val="00C01EED"/>
    <w:rsid w:val="00C04797"/>
    <w:rsid w:val="00C05A57"/>
    <w:rsid w:val="00C12C4E"/>
    <w:rsid w:val="00C229C5"/>
    <w:rsid w:val="00C328A7"/>
    <w:rsid w:val="00C54542"/>
    <w:rsid w:val="00C77C76"/>
    <w:rsid w:val="00C812FF"/>
    <w:rsid w:val="00CA0298"/>
    <w:rsid w:val="00CB7C8A"/>
    <w:rsid w:val="00CC2D95"/>
    <w:rsid w:val="00CD54CA"/>
    <w:rsid w:val="00CD6800"/>
    <w:rsid w:val="00CE199D"/>
    <w:rsid w:val="00CE386B"/>
    <w:rsid w:val="00D01F39"/>
    <w:rsid w:val="00D025DF"/>
    <w:rsid w:val="00D0681F"/>
    <w:rsid w:val="00D12B01"/>
    <w:rsid w:val="00D3763A"/>
    <w:rsid w:val="00D6447E"/>
    <w:rsid w:val="00D83AF4"/>
    <w:rsid w:val="00D862C9"/>
    <w:rsid w:val="00D8682C"/>
    <w:rsid w:val="00D86D3D"/>
    <w:rsid w:val="00D93D03"/>
    <w:rsid w:val="00DA1BFF"/>
    <w:rsid w:val="00DA31CD"/>
    <w:rsid w:val="00DA6704"/>
    <w:rsid w:val="00DB426C"/>
    <w:rsid w:val="00DB4553"/>
    <w:rsid w:val="00DC5A06"/>
    <w:rsid w:val="00DE047D"/>
    <w:rsid w:val="00DE093F"/>
    <w:rsid w:val="00DE1884"/>
    <w:rsid w:val="00DE2909"/>
    <w:rsid w:val="00DE4776"/>
    <w:rsid w:val="00E02DDA"/>
    <w:rsid w:val="00E0406B"/>
    <w:rsid w:val="00E05D17"/>
    <w:rsid w:val="00E17655"/>
    <w:rsid w:val="00E202E3"/>
    <w:rsid w:val="00E2644E"/>
    <w:rsid w:val="00E316A5"/>
    <w:rsid w:val="00E3440F"/>
    <w:rsid w:val="00E50567"/>
    <w:rsid w:val="00E5487A"/>
    <w:rsid w:val="00E55159"/>
    <w:rsid w:val="00E55A19"/>
    <w:rsid w:val="00E7351D"/>
    <w:rsid w:val="00E805F6"/>
    <w:rsid w:val="00E8199C"/>
    <w:rsid w:val="00E949DC"/>
    <w:rsid w:val="00EA07B6"/>
    <w:rsid w:val="00EA6215"/>
    <w:rsid w:val="00EB0316"/>
    <w:rsid w:val="00EC0F38"/>
    <w:rsid w:val="00EC149A"/>
    <w:rsid w:val="00EC44B3"/>
    <w:rsid w:val="00ED11C8"/>
    <w:rsid w:val="00ED2122"/>
    <w:rsid w:val="00EF3A76"/>
    <w:rsid w:val="00F01788"/>
    <w:rsid w:val="00F01F16"/>
    <w:rsid w:val="00F02B8F"/>
    <w:rsid w:val="00F0557F"/>
    <w:rsid w:val="00F07598"/>
    <w:rsid w:val="00F12F44"/>
    <w:rsid w:val="00F13386"/>
    <w:rsid w:val="00F1536B"/>
    <w:rsid w:val="00F159D5"/>
    <w:rsid w:val="00F1770F"/>
    <w:rsid w:val="00F21059"/>
    <w:rsid w:val="00F31C82"/>
    <w:rsid w:val="00F345E3"/>
    <w:rsid w:val="00F50A91"/>
    <w:rsid w:val="00F51B1E"/>
    <w:rsid w:val="00F64100"/>
    <w:rsid w:val="00F64A3C"/>
    <w:rsid w:val="00F760D6"/>
    <w:rsid w:val="00F81841"/>
    <w:rsid w:val="00F83176"/>
    <w:rsid w:val="00F91DAA"/>
    <w:rsid w:val="00F96F90"/>
    <w:rsid w:val="00FA6E62"/>
    <w:rsid w:val="00FB2722"/>
    <w:rsid w:val="00FC073C"/>
    <w:rsid w:val="00FC4DB5"/>
    <w:rsid w:val="00FC5E2B"/>
    <w:rsid w:val="00FE2ABE"/>
    <w:rsid w:val="00FE6E9F"/>
    <w:rsid w:val="00FF28C7"/>
    <w:rsid w:val="00FF4B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AA"/>
    <w:pPr>
      <w:spacing w:line="180" w:lineRule="exact"/>
    </w:pPr>
    <w:rPr>
      <w:lang w:eastAsia="en-US"/>
    </w:rPr>
  </w:style>
  <w:style w:type="paragraph" w:styleId="Heading2">
    <w:name w:val="heading 2"/>
    <w:basedOn w:val="Normal"/>
    <w:link w:val="Heading2Char"/>
    <w:uiPriority w:val="99"/>
    <w:qFormat/>
    <w:rsid w:val="00264D86"/>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64D86"/>
    <w:rPr>
      <w:rFonts w:ascii="Times New Roman" w:hAnsi="Times New Roman" w:cs="Times New Roman"/>
      <w:b/>
      <w:bCs/>
      <w:sz w:val="36"/>
      <w:szCs w:val="36"/>
      <w:lang w:eastAsia="ru-RU"/>
    </w:rPr>
  </w:style>
  <w:style w:type="paragraph" w:styleId="NormalWeb">
    <w:name w:val="Normal (Web)"/>
    <w:basedOn w:val="Normal"/>
    <w:uiPriority w:val="99"/>
    <w:semiHidden/>
    <w:rsid w:val="00264D8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64D86"/>
    <w:rPr>
      <w:rFonts w:cs="Times New Roman"/>
      <w:b/>
      <w:bCs/>
    </w:rPr>
  </w:style>
</w:styles>
</file>

<file path=word/webSettings.xml><?xml version="1.0" encoding="utf-8"?>
<w:webSettings xmlns:r="http://schemas.openxmlformats.org/officeDocument/2006/relationships" xmlns:w="http://schemas.openxmlformats.org/wordprocessingml/2006/main">
  <w:divs>
    <w:div w:id="1836990899">
      <w:marLeft w:val="0"/>
      <w:marRight w:val="0"/>
      <w:marTop w:val="0"/>
      <w:marBottom w:val="0"/>
      <w:divBdr>
        <w:top w:val="none" w:sz="0" w:space="0" w:color="auto"/>
        <w:left w:val="none" w:sz="0" w:space="0" w:color="auto"/>
        <w:bottom w:val="none" w:sz="0" w:space="0" w:color="auto"/>
        <w:right w:val="none" w:sz="0" w:space="0" w:color="auto"/>
      </w:divBdr>
    </w:div>
    <w:div w:id="1836990913">
      <w:marLeft w:val="0"/>
      <w:marRight w:val="0"/>
      <w:marTop w:val="0"/>
      <w:marBottom w:val="0"/>
      <w:divBdr>
        <w:top w:val="none" w:sz="0" w:space="0" w:color="auto"/>
        <w:left w:val="none" w:sz="0" w:space="0" w:color="auto"/>
        <w:bottom w:val="none" w:sz="0" w:space="0" w:color="auto"/>
        <w:right w:val="none" w:sz="0" w:space="0" w:color="auto"/>
      </w:divBdr>
      <w:divsChild>
        <w:div w:id="1836990901">
          <w:marLeft w:val="-251"/>
          <w:marRight w:val="-251"/>
          <w:marTop w:val="0"/>
          <w:marBottom w:val="0"/>
          <w:divBdr>
            <w:top w:val="none" w:sz="0" w:space="0" w:color="auto"/>
            <w:left w:val="none" w:sz="0" w:space="0" w:color="auto"/>
            <w:bottom w:val="none" w:sz="0" w:space="0" w:color="auto"/>
            <w:right w:val="none" w:sz="0" w:space="0" w:color="auto"/>
          </w:divBdr>
          <w:divsChild>
            <w:div w:id="1836990904">
              <w:marLeft w:val="0"/>
              <w:marRight w:val="0"/>
              <w:marTop w:val="0"/>
              <w:marBottom w:val="0"/>
              <w:divBdr>
                <w:top w:val="none" w:sz="0" w:space="0" w:color="auto"/>
                <w:left w:val="none" w:sz="0" w:space="0" w:color="auto"/>
                <w:bottom w:val="none" w:sz="0" w:space="0" w:color="auto"/>
                <w:right w:val="none" w:sz="0" w:space="0" w:color="auto"/>
              </w:divBdr>
              <w:divsChild>
                <w:div w:id="1836990909">
                  <w:marLeft w:val="0"/>
                  <w:marRight w:val="0"/>
                  <w:marTop w:val="0"/>
                  <w:marBottom w:val="0"/>
                  <w:divBdr>
                    <w:top w:val="none" w:sz="0" w:space="0" w:color="auto"/>
                    <w:left w:val="none" w:sz="0" w:space="0" w:color="auto"/>
                    <w:bottom w:val="none" w:sz="0" w:space="0" w:color="auto"/>
                    <w:right w:val="none" w:sz="0" w:space="0" w:color="auto"/>
                  </w:divBdr>
                  <w:divsChild>
                    <w:div w:id="1836990903">
                      <w:marLeft w:val="0"/>
                      <w:marRight w:val="0"/>
                      <w:marTop w:val="0"/>
                      <w:marBottom w:val="0"/>
                      <w:divBdr>
                        <w:top w:val="none" w:sz="0" w:space="0" w:color="auto"/>
                        <w:left w:val="none" w:sz="0" w:space="0" w:color="auto"/>
                        <w:bottom w:val="none" w:sz="0" w:space="0" w:color="auto"/>
                        <w:right w:val="none" w:sz="0" w:space="0" w:color="auto"/>
                      </w:divBdr>
                      <w:divsChild>
                        <w:div w:id="1836990910">
                          <w:marLeft w:val="0"/>
                          <w:marRight w:val="0"/>
                          <w:marTop w:val="0"/>
                          <w:marBottom w:val="586"/>
                          <w:divBdr>
                            <w:top w:val="none" w:sz="0" w:space="0" w:color="auto"/>
                            <w:left w:val="none" w:sz="0" w:space="0" w:color="auto"/>
                            <w:bottom w:val="none" w:sz="0" w:space="0" w:color="auto"/>
                            <w:right w:val="none" w:sz="0" w:space="0" w:color="auto"/>
                          </w:divBdr>
                          <w:divsChild>
                            <w:div w:id="1836990900">
                              <w:marLeft w:val="0"/>
                              <w:marRight w:val="0"/>
                              <w:marTop w:val="0"/>
                              <w:marBottom w:val="0"/>
                              <w:divBdr>
                                <w:top w:val="none" w:sz="0" w:space="0" w:color="auto"/>
                                <w:left w:val="none" w:sz="0" w:space="0" w:color="auto"/>
                                <w:bottom w:val="none" w:sz="0" w:space="0" w:color="auto"/>
                                <w:right w:val="none" w:sz="0" w:space="0" w:color="auto"/>
                              </w:divBdr>
                            </w:div>
                          </w:divsChild>
                        </w:div>
                        <w:div w:id="183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0905">
          <w:marLeft w:val="-251"/>
          <w:marRight w:val="-251"/>
          <w:marTop w:val="0"/>
          <w:marBottom w:val="0"/>
          <w:divBdr>
            <w:top w:val="none" w:sz="0" w:space="0" w:color="auto"/>
            <w:left w:val="none" w:sz="0" w:space="0" w:color="auto"/>
            <w:bottom w:val="none" w:sz="0" w:space="0" w:color="auto"/>
            <w:right w:val="none" w:sz="0" w:space="0" w:color="auto"/>
          </w:divBdr>
          <w:divsChild>
            <w:div w:id="1836990902">
              <w:marLeft w:val="0"/>
              <w:marRight w:val="0"/>
              <w:marTop w:val="0"/>
              <w:marBottom w:val="0"/>
              <w:divBdr>
                <w:top w:val="none" w:sz="0" w:space="0" w:color="auto"/>
                <w:left w:val="none" w:sz="0" w:space="0" w:color="auto"/>
                <w:bottom w:val="none" w:sz="0" w:space="0" w:color="auto"/>
                <w:right w:val="none" w:sz="0" w:space="0" w:color="auto"/>
              </w:divBdr>
              <w:divsChild>
                <w:div w:id="1836990906">
                  <w:marLeft w:val="0"/>
                  <w:marRight w:val="0"/>
                  <w:marTop w:val="0"/>
                  <w:marBottom w:val="0"/>
                  <w:divBdr>
                    <w:top w:val="none" w:sz="0" w:space="0" w:color="auto"/>
                    <w:left w:val="none" w:sz="0" w:space="0" w:color="auto"/>
                    <w:bottom w:val="none" w:sz="0" w:space="0" w:color="auto"/>
                    <w:right w:val="none" w:sz="0" w:space="0" w:color="auto"/>
                  </w:divBdr>
                  <w:divsChild>
                    <w:div w:id="1836990912">
                      <w:marLeft w:val="0"/>
                      <w:marRight w:val="0"/>
                      <w:marTop w:val="0"/>
                      <w:marBottom w:val="0"/>
                      <w:divBdr>
                        <w:top w:val="none" w:sz="0" w:space="0" w:color="auto"/>
                        <w:left w:val="none" w:sz="0" w:space="0" w:color="auto"/>
                        <w:bottom w:val="none" w:sz="0" w:space="0" w:color="auto"/>
                        <w:right w:val="none" w:sz="0" w:space="0" w:color="auto"/>
                      </w:divBdr>
                      <w:divsChild>
                        <w:div w:id="1836990907">
                          <w:marLeft w:val="0"/>
                          <w:marRight w:val="0"/>
                          <w:marTop w:val="0"/>
                          <w:marBottom w:val="586"/>
                          <w:divBdr>
                            <w:top w:val="none" w:sz="0" w:space="0" w:color="auto"/>
                            <w:left w:val="none" w:sz="0" w:space="0" w:color="auto"/>
                            <w:bottom w:val="none" w:sz="0" w:space="0" w:color="auto"/>
                            <w:right w:val="none" w:sz="0" w:space="0" w:color="auto"/>
                          </w:divBdr>
                          <w:divsChild>
                            <w:div w:id="18369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3</Pages>
  <Words>679</Words>
  <Characters>3871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Стоимость абонентского юридического обслуживания юридической компании «Дипломат»</dc:title>
  <dc:subject/>
  <dc:creator>Штанг</dc:creator>
  <cp:keywords/>
  <dc:description/>
  <cp:lastModifiedBy>Иван</cp:lastModifiedBy>
  <cp:revision>4</cp:revision>
  <cp:lastPrinted>2020-03-04T03:38:00Z</cp:lastPrinted>
  <dcterms:created xsi:type="dcterms:W3CDTF">2020-03-25T09:05:00Z</dcterms:created>
  <dcterms:modified xsi:type="dcterms:W3CDTF">2020-03-25T09:08:00Z</dcterms:modified>
</cp:coreProperties>
</file>